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Pr="007471D5" w:rsidRDefault="007471D5" w:rsidP="0087119B">
      <w:pPr>
        <w:jc w:val="center"/>
        <w:rPr>
          <w:rFonts w:ascii="Times New Roman" w:hAnsi="Times New Roman" w:cs="Times New Roman"/>
          <w:sz w:val="24"/>
          <w:szCs w:val="24"/>
        </w:rPr>
      </w:pPr>
      <w:r w:rsidRPr="007471D5">
        <w:rPr>
          <w:rFonts w:ascii="Times New Roman" w:hAnsi="Times New Roman" w:cs="Times New Roman"/>
          <w:sz w:val="24"/>
          <w:szCs w:val="24"/>
        </w:rPr>
        <w:t>14th amendment</w:t>
      </w:r>
    </w:p>
    <w:p w:rsidR="007471D5" w:rsidRPr="007471D5" w:rsidRDefault="007471D5" w:rsidP="0087119B">
      <w:pPr>
        <w:jc w:val="center"/>
        <w:rPr>
          <w:rFonts w:ascii="Times New Roman" w:hAnsi="Times New Roman" w:cs="Times New Roman"/>
          <w:sz w:val="24"/>
          <w:szCs w:val="24"/>
        </w:rPr>
      </w:pPr>
      <w:r w:rsidRPr="007471D5">
        <w:rPr>
          <w:rFonts w:ascii="Times New Roman" w:hAnsi="Times New Roman" w:cs="Times New Roman"/>
          <w:sz w:val="24"/>
          <w:szCs w:val="24"/>
        </w:rPr>
        <w:t xml:space="preserve">Student’s Name </w:t>
      </w:r>
    </w:p>
    <w:p w:rsidR="007471D5" w:rsidRPr="007471D5" w:rsidRDefault="007471D5" w:rsidP="0087119B">
      <w:pPr>
        <w:jc w:val="center"/>
        <w:rPr>
          <w:rFonts w:ascii="Times New Roman" w:hAnsi="Times New Roman" w:cs="Times New Roman"/>
          <w:sz w:val="24"/>
          <w:szCs w:val="24"/>
        </w:rPr>
      </w:pPr>
      <w:r w:rsidRPr="007471D5">
        <w:rPr>
          <w:rFonts w:ascii="Times New Roman" w:hAnsi="Times New Roman" w:cs="Times New Roman"/>
          <w:sz w:val="24"/>
          <w:szCs w:val="24"/>
        </w:rPr>
        <w:t xml:space="preserve">Institutional Affiliation </w:t>
      </w:r>
    </w:p>
    <w:p w:rsidR="007471D5" w:rsidRPr="007471D5" w:rsidRDefault="007471D5" w:rsidP="0087119B">
      <w:pPr>
        <w:jc w:val="center"/>
        <w:rPr>
          <w:rFonts w:ascii="Times New Roman" w:hAnsi="Times New Roman" w:cs="Times New Roman"/>
          <w:sz w:val="24"/>
          <w:szCs w:val="24"/>
        </w:rPr>
      </w:pPr>
      <w:r w:rsidRPr="007471D5">
        <w:rPr>
          <w:rFonts w:ascii="Times New Roman" w:hAnsi="Times New Roman" w:cs="Times New Roman"/>
          <w:sz w:val="24"/>
          <w:szCs w:val="24"/>
        </w:rPr>
        <w:t xml:space="preserve">Date </w:t>
      </w:r>
    </w:p>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Default="007471D5" w:rsidP="0087119B">
      <w:pPr>
        <w:jc w:val="center"/>
        <w:rPr>
          <w:rFonts w:ascii="Times New Roman" w:hAnsi="Times New Roman" w:cs="Times New Roman"/>
          <w:b/>
          <w:sz w:val="24"/>
          <w:szCs w:val="24"/>
        </w:rPr>
      </w:pPr>
    </w:p>
    <w:p w:rsidR="007471D5" w:rsidRDefault="007471D5" w:rsidP="007471D5">
      <w:pPr>
        <w:ind w:left="0" w:firstLine="0"/>
        <w:rPr>
          <w:rFonts w:ascii="Times New Roman" w:hAnsi="Times New Roman" w:cs="Times New Roman"/>
          <w:b/>
          <w:sz w:val="24"/>
          <w:szCs w:val="24"/>
        </w:rPr>
      </w:pPr>
    </w:p>
    <w:p w:rsidR="007471D5" w:rsidRDefault="007471D5" w:rsidP="007471D5">
      <w:pPr>
        <w:ind w:left="0" w:firstLine="0"/>
        <w:rPr>
          <w:rFonts w:ascii="Times New Roman" w:hAnsi="Times New Roman" w:cs="Times New Roman"/>
          <w:b/>
          <w:sz w:val="24"/>
          <w:szCs w:val="24"/>
        </w:rPr>
      </w:pPr>
    </w:p>
    <w:p w:rsidR="007148F8" w:rsidRPr="0087119B" w:rsidRDefault="006A4906" w:rsidP="0087119B">
      <w:pPr>
        <w:jc w:val="center"/>
        <w:rPr>
          <w:rFonts w:ascii="Times New Roman" w:hAnsi="Times New Roman" w:cs="Times New Roman"/>
          <w:b/>
          <w:sz w:val="24"/>
          <w:szCs w:val="24"/>
        </w:rPr>
      </w:pPr>
      <w:r w:rsidRPr="0087119B">
        <w:rPr>
          <w:rFonts w:ascii="Times New Roman" w:hAnsi="Times New Roman" w:cs="Times New Roman"/>
          <w:b/>
          <w:sz w:val="24"/>
          <w:szCs w:val="24"/>
        </w:rPr>
        <w:lastRenderedPageBreak/>
        <w:t>14</w:t>
      </w:r>
      <w:r w:rsidRPr="0087119B">
        <w:rPr>
          <w:rFonts w:ascii="Times New Roman" w:hAnsi="Times New Roman" w:cs="Times New Roman"/>
          <w:b/>
          <w:sz w:val="24"/>
          <w:szCs w:val="24"/>
          <w:vertAlign w:val="superscript"/>
        </w:rPr>
        <w:t>th</w:t>
      </w:r>
      <w:r w:rsidRPr="0087119B">
        <w:rPr>
          <w:rFonts w:ascii="Times New Roman" w:hAnsi="Times New Roman" w:cs="Times New Roman"/>
          <w:b/>
          <w:sz w:val="24"/>
          <w:szCs w:val="24"/>
        </w:rPr>
        <w:t xml:space="preserve"> amendment</w:t>
      </w:r>
      <w:r w:rsidR="007471D5">
        <w:rPr>
          <w:rFonts w:ascii="Times New Roman" w:hAnsi="Times New Roman" w:cs="Times New Roman"/>
          <w:b/>
          <w:sz w:val="24"/>
          <w:szCs w:val="24"/>
        </w:rPr>
        <w:t xml:space="preserve"> and equal protection clause </w:t>
      </w:r>
    </w:p>
    <w:p w:rsidR="0087119B" w:rsidRPr="00BC5B25" w:rsidRDefault="00B52F29" w:rsidP="00BC5B25">
      <w:pPr>
        <w:ind w:left="0" w:firstLine="720"/>
        <w:rPr>
          <w:rFonts w:ascii="Times New Roman" w:hAnsi="Times New Roman" w:cs="Times New Roman"/>
          <w:sz w:val="24"/>
          <w:szCs w:val="24"/>
        </w:rPr>
      </w:pPr>
      <w:r w:rsidRPr="0087119B">
        <w:rPr>
          <w:rFonts w:ascii="Times New Roman" w:hAnsi="Times New Roman" w:cs="Times New Roman"/>
          <w:sz w:val="24"/>
          <w:szCs w:val="24"/>
        </w:rPr>
        <w:t>The most important element I have learned from this course is equal protection. Equal protection means that a governing body must treat an individual in the same manner as others in similar conditions and circumstances</w:t>
      </w:r>
      <w:r w:rsidR="00BC5B25" w:rsidRPr="00BC5B25">
        <w:rPr>
          <w:rFonts w:ascii="Times New Roman" w:hAnsi="Times New Roman" w:cs="Times New Roman"/>
          <w:sz w:val="24"/>
          <w:szCs w:val="24"/>
        </w:rPr>
        <w:t xml:space="preserve"> </w:t>
      </w:r>
      <w:r w:rsidR="00BC5B25">
        <w:rPr>
          <w:rFonts w:ascii="Times New Roman" w:hAnsi="Times New Roman" w:cs="Times New Roman"/>
          <w:sz w:val="24"/>
          <w:szCs w:val="24"/>
        </w:rPr>
        <w:t>(James, 1956)</w:t>
      </w:r>
      <w:r w:rsidRPr="00BC5B25">
        <w:rPr>
          <w:rFonts w:ascii="Times New Roman" w:hAnsi="Times New Roman" w:cs="Times New Roman"/>
          <w:sz w:val="24"/>
          <w:szCs w:val="24"/>
        </w:rPr>
        <w:t>.</w:t>
      </w:r>
      <w:r w:rsidRPr="0087119B">
        <w:rPr>
          <w:rFonts w:ascii="Times New Roman" w:hAnsi="Times New Roman" w:cs="Times New Roman"/>
          <w:sz w:val="24"/>
          <w:szCs w:val="24"/>
        </w:rPr>
        <w:t xml:space="preserve"> This clause aims at creating equality and fairness among all United States citizens irrespective of their race, class, religion, or gender. Equal protection also called the 14</w:t>
      </w:r>
      <w:r w:rsidRPr="0087119B">
        <w:rPr>
          <w:rFonts w:ascii="Times New Roman" w:hAnsi="Times New Roman" w:cs="Times New Roman"/>
          <w:sz w:val="24"/>
          <w:szCs w:val="24"/>
          <w:vertAlign w:val="superscript"/>
        </w:rPr>
        <w:t>th</w:t>
      </w:r>
      <w:r w:rsidRPr="0087119B">
        <w:rPr>
          <w:rFonts w:ascii="Times New Roman" w:hAnsi="Times New Roman" w:cs="Times New Roman"/>
          <w:sz w:val="24"/>
          <w:szCs w:val="24"/>
        </w:rPr>
        <w:t xml:space="preserve"> Amendment</w:t>
      </w:r>
      <w:r w:rsidR="0047479A" w:rsidRPr="0087119B">
        <w:rPr>
          <w:rFonts w:ascii="Times New Roman" w:hAnsi="Times New Roman" w:cs="Times New Roman"/>
          <w:sz w:val="24"/>
          <w:szCs w:val="24"/>
        </w:rPr>
        <w:t xml:space="preserve"> </w:t>
      </w:r>
      <w:r w:rsidRPr="0087119B">
        <w:rPr>
          <w:rFonts w:ascii="Times New Roman" w:hAnsi="Times New Roman" w:cs="Times New Roman"/>
          <w:sz w:val="24"/>
          <w:szCs w:val="24"/>
        </w:rPr>
        <w:t>was r</w:t>
      </w:r>
      <w:r w:rsidR="0047479A" w:rsidRPr="0087119B">
        <w:rPr>
          <w:rFonts w:ascii="Times New Roman" w:hAnsi="Times New Roman" w:cs="Times New Roman"/>
          <w:sz w:val="24"/>
          <w:szCs w:val="24"/>
        </w:rPr>
        <w:t>atified on July</w:t>
      </w:r>
      <w:r w:rsidRPr="0087119B">
        <w:rPr>
          <w:rFonts w:ascii="Times New Roman" w:hAnsi="Times New Roman" w:cs="Times New Roman"/>
          <w:sz w:val="24"/>
          <w:szCs w:val="24"/>
        </w:rPr>
        <w:t xml:space="preserve"> 9, 1868. T</w:t>
      </w:r>
      <w:r w:rsidR="0047479A" w:rsidRPr="0087119B">
        <w:rPr>
          <w:rFonts w:ascii="Times New Roman" w:hAnsi="Times New Roman" w:cs="Times New Roman"/>
          <w:sz w:val="24"/>
          <w:szCs w:val="24"/>
        </w:rPr>
        <w:t>he clause requires equal protection of the laws of all persons born or na</w:t>
      </w:r>
      <w:r w:rsidRPr="0087119B">
        <w:rPr>
          <w:rFonts w:ascii="Times New Roman" w:hAnsi="Times New Roman" w:cs="Times New Roman"/>
          <w:sz w:val="24"/>
          <w:szCs w:val="24"/>
        </w:rPr>
        <w:t>turalized in the United States including</w:t>
      </w:r>
      <w:r w:rsidR="0047479A" w:rsidRPr="0087119B">
        <w:rPr>
          <w:rFonts w:ascii="Times New Roman" w:hAnsi="Times New Roman" w:cs="Times New Roman"/>
          <w:sz w:val="24"/>
          <w:szCs w:val="24"/>
        </w:rPr>
        <w:t xml:space="preserve"> former slaves. Equal Protection refers to the idea that a government body may not deny any person equal p</w:t>
      </w:r>
      <w:r w:rsidRPr="0087119B">
        <w:rPr>
          <w:rFonts w:ascii="Times New Roman" w:hAnsi="Times New Roman" w:cs="Times New Roman"/>
          <w:sz w:val="24"/>
          <w:szCs w:val="24"/>
        </w:rPr>
        <w:t>rotection of its governing laws</w:t>
      </w:r>
      <w:r w:rsidR="00BC5B25">
        <w:rPr>
          <w:rFonts w:ascii="Times New Roman" w:hAnsi="Times New Roman" w:cs="Times New Roman"/>
          <w:sz w:val="24"/>
          <w:szCs w:val="24"/>
        </w:rPr>
        <w:t xml:space="preserve"> (Warren, </w:t>
      </w:r>
      <w:r w:rsidR="00BC5B25" w:rsidRPr="00BC5B25">
        <w:rPr>
          <w:rFonts w:ascii="Times New Roman" w:hAnsi="Times New Roman" w:cs="Times New Roman"/>
          <w:sz w:val="24"/>
          <w:szCs w:val="24"/>
        </w:rPr>
        <w:t>1925).</w:t>
      </w:r>
    </w:p>
    <w:p w:rsidR="0047479A" w:rsidRPr="0087119B" w:rsidRDefault="0047479A" w:rsidP="0087119B">
      <w:pPr>
        <w:ind w:left="0" w:firstLine="720"/>
        <w:rPr>
          <w:rFonts w:ascii="Times New Roman" w:hAnsi="Times New Roman" w:cs="Times New Roman"/>
          <w:sz w:val="24"/>
          <w:szCs w:val="24"/>
        </w:rPr>
      </w:pPr>
      <w:r w:rsidRPr="0087119B">
        <w:rPr>
          <w:rFonts w:ascii="Times New Roman" w:hAnsi="Times New Roman" w:cs="Times New Roman"/>
          <w:sz w:val="24"/>
          <w:szCs w:val="24"/>
        </w:rPr>
        <w:t xml:space="preserve">Part of the clause reads </w:t>
      </w:r>
      <w:r w:rsidRPr="0087119B">
        <w:rPr>
          <w:rFonts w:ascii="Times New Roman" w:hAnsi="Times New Roman" w:cs="Times New Roman"/>
          <w:i/>
          <w:sz w:val="24"/>
          <w:szCs w:val="24"/>
        </w:rPr>
        <w:t>“nor shall any State deprive any person of life, liberty, or property, without due process of law”.</w:t>
      </w:r>
      <w:r w:rsidRPr="0087119B">
        <w:rPr>
          <w:rFonts w:ascii="Times New Roman" w:hAnsi="Times New Roman" w:cs="Times New Roman"/>
          <w:sz w:val="24"/>
          <w:szCs w:val="24"/>
        </w:rPr>
        <w:t xml:space="preserve"> This clause was understood to mean that the government could only deprive a person of rights according to law applied by a court. The ri</w:t>
      </w:r>
      <w:r w:rsidR="00B52F29" w:rsidRPr="0087119B">
        <w:rPr>
          <w:rFonts w:ascii="Times New Roman" w:hAnsi="Times New Roman" w:cs="Times New Roman"/>
          <w:sz w:val="24"/>
          <w:szCs w:val="24"/>
        </w:rPr>
        <w:t xml:space="preserve">ghts guaranteed in this clause </w:t>
      </w:r>
      <w:r w:rsidRPr="0087119B">
        <w:rPr>
          <w:rFonts w:ascii="Times New Roman" w:hAnsi="Times New Roman" w:cs="Times New Roman"/>
          <w:sz w:val="24"/>
          <w:szCs w:val="24"/>
        </w:rPr>
        <w:t xml:space="preserve">are the rights to life, liberty, and property. </w:t>
      </w:r>
      <w:r w:rsidR="00642841" w:rsidRPr="0087119B">
        <w:rPr>
          <w:rFonts w:ascii="Times New Roman" w:hAnsi="Times New Roman" w:cs="Times New Roman"/>
          <w:sz w:val="24"/>
          <w:szCs w:val="24"/>
        </w:rPr>
        <w:t xml:space="preserve">This clause has however, attracted a lot of controversies because it has not been applied with justice. The clause has been used to the advantage of some groups of people while disadvantaging others. </w:t>
      </w:r>
      <w:r w:rsidR="004D5DCC" w:rsidRPr="0087119B">
        <w:rPr>
          <w:rFonts w:ascii="Times New Roman" w:hAnsi="Times New Roman" w:cs="Times New Roman"/>
          <w:sz w:val="24"/>
          <w:szCs w:val="24"/>
        </w:rPr>
        <w:t xml:space="preserve">Specifically, the law has been used to undermine the rights of African Americans and other marginalized groups. In the criminal justice system, “the due process” law has been used to discriminate against them. This discrimination has resulted to overrepresentation of African Americans in the criminal justice system. Today, most of the inmates in American correctional centers are African Americans. </w:t>
      </w:r>
      <w:r w:rsidR="009E7498" w:rsidRPr="0087119B">
        <w:rPr>
          <w:rFonts w:ascii="Times New Roman" w:hAnsi="Times New Roman" w:cs="Times New Roman"/>
          <w:sz w:val="24"/>
          <w:szCs w:val="24"/>
        </w:rPr>
        <w:t xml:space="preserve">This is attributed to the judicial and court systems that disproportionately affect the Blacks during legal proceedings. </w:t>
      </w:r>
      <w:r w:rsidR="00C30BF0" w:rsidRPr="0087119B">
        <w:rPr>
          <w:rFonts w:ascii="Times New Roman" w:hAnsi="Times New Roman" w:cs="Times New Roman"/>
          <w:sz w:val="24"/>
          <w:szCs w:val="24"/>
        </w:rPr>
        <w:t xml:space="preserve">Normally, fair procedure is not applied before depriving these citizens the rights to life, liberty, and property. </w:t>
      </w:r>
    </w:p>
    <w:p w:rsidR="006A4906" w:rsidRPr="003E58A1" w:rsidRDefault="003E58A1" w:rsidP="003E58A1">
      <w:pPr>
        <w:ind w:left="0" w:firstLine="720"/>
        <w:rPr>
          <w:rFonts w:ascii="Times New Roman" w:hAnsi="Times New Roman" w:cs="Times New Roman"/>
          <w:sz w:val="24"/>
          <w:szCs w:val="24"/>
        </w:rPr>
      </w:pPr>
      <w:r w:rsidRPr="003E58A1">
        <w:rPr>
          <w:rFonts w:ascii="Times New Roman" w:hAnsi="Times New Roman" w:cs="Times New Roman"/>
          <w:sz w:val="24"/>
          <w:szCs w:val="24"/>
        </w:rPr>
        <w:t xml:space="preserve">The death of George Floyd, an unarmed black man in the hands of police is </w:t>
      </w:r>
      <w:r w:rsidR="007471D5">
        <w:rPr>
          <w:rFonts w:ascii="Times New Roman" w:hAnsi="Times New Roman" w:cs="Times New Roman"/>
          <w:sz w:val="24"/>
          <w:szCs w:val="24"/>
        </w:rPr>
        <w:t xml:space="preserve">Minneapolis </w:t>
      </w:r>
      <w:r w:rsidRPr="003E58A1">
        <w:rPr>
          <w:rFonts w:ascii="Times New Roman" w:hAnsi="Times New Roman" w:cs="Times New Roman"/>
          <w:sz w:val="24"/>
          <w:szCs w:val="24"/>
        </w:rPr>
        <w:t>is a recent event that put equal protection clause on the spot.</w:t>
      </w:r>
      <w:r>
        <w:rPr>
          <w:rFonts w:ascii="Times New Roman" w:hAnsi="Times New Roman" w:cs="Times New Roman"/>
          <w:sz w:val="24"/>
          <w:szCs w:val="24"/>
        </w:rPr>
        <w:t xml:space="preserve"> The </w:t>
      </w:r>
      <w:r w:rsidR="007471D5">
        <w:rPr>
          <w:rFonts w:ascii="Times New Roman" w:hAnsi="Times New Roman" w:cs="Times New Roman"/>
          <w:sz w:val="24"/>
          <w:szCs w:val="24"/>
        </w:rPr>
        <w:t xml:space="preserve">death of George Floyd show </w:t>
      </w:r>
      <w:r>
        <w:rPr>
          <w:rFonts w:ascii="Times New Roman" w:hAnsi="Times New Roman" w:cs="Times New Roman"/>
          <w:sz w:val="24"/>
          <w:szCs w:val="24"/>
        </w:rPr>
        <w:t xml:space="preserve">that </w:t>
      </w:r>
      <w:r>
        <w:rPr>
          <w:rFonts w:ascii="Times New Roman" w:hAnsi="Times New Roman" w:cs="Times New Roman"/>
          <w:sz w:val="24"/>
          <w:szCs w:val="24"/>
        </w:rPr>
        <w:lastRenderedPageBreak/>
        <w:t>the 14</w:t>
      </w:r>
      <w:r w:rsidRPr="003E58A1">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has not functioned effectively to ensure that black Americans receive equal protection of the laws. Racial injustice crops almost every level of the criminal justice system. Black Americans are more likely than w</w:t>
      </w:r>
      <w:r w:rsidR="007471D5">
        <w:rPr>
          <w:rFonts w:ascii="Times New Roman" w:hAnsi="Times New Roman" w:cs="Times New Roman"/>
          <w:sz w:val="24"/>
          <w:szCs w:val="24"/>
        </w:rPr>
        <w:t>hites to be stopped, killed,</w:t>
      </w:r>
      <w:r>
        <w:rPr>
          <w:rFonts w:ascii="Times New Roman" w:hAnsi="Times New Roman" w:cs="Times New Roman"/>
          <w:sz w:val="24"/>
          <w:szCs w:val="24"/>
        </w:rPr>
        <w:t xml:space="preserve"> incarcerated and sentenced to lengthy terms in jail. The 14</w:t>
      </w:r>
      <w:r w:rsidRPr="003E58A1">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equal protection clause should provide redress to victims of racial injustice by government bodies. However, this has not been the case as the Supreme Court has on numerous occasions refused </w:t>
      </w:r>
      <w:r w:rsidR="000D769C">
        <w:rPr>
          <w:rFonts w:ascii="Times New Roman" w:hAnsi="Times New Roman" w:cs="Times New Roman"/>
          <w:sz w:val="24"/>
          <w:szCs w:val="24"/>
        </w:rPr>
        <w:t xml:space="preserve">the overwhelming statistical data as evidence of racial discrimination. Therefore, I believe that there is no fundamental sense of due process or fairness in this country. </w:t>
      </w:r>
    </w:p>
    <w:p w:rsidR="0087119B" w:rsidRPr="0087119B" w:rsidRDefault="0087119B" w:rsidP="0087119B">
      <w:pPr>
        <w:rPr>
          <w:rFonts w:ascii="Times New Roman" w:hAnsi="Times New Roman" w:cs="Times New Roman"/>
          <w:sz w:val="24"/>
          <w:szCs w:val="24"/>
        </w:rPr>
      </w:pPr>
      <w:bookmarkStart w:id="0" w:name="_GoBack"/>
      <w:bookmarkEnd w:id="0"/>
    </w:p>
    <w:p w:rsidR="0087119B" w:rsidRPr="0087119B" w:rsidRDefault="0087119B" w:rsidP="0087119B">
      <w:pPr>
        <w:rPr>
          <w:rFonts w:ascii="Times New Roman" w:hAnsi="Times New Roman" w:cs="Times New Roman"/>
          <w:sz w:val="24"/>
          <w:szCs w:val="24"/>
        </w:rPr>
      </w:pPr>
    </w:p>
    <w:p w:rsidR="0087119B" w:rsidRPr="0087119B" w:rsidRDefault="0087119B" w:rsidP="0087119B">
      <w:pPr>
        <w:rPr>
          <w:rFonts w:ascii="Times New Roman" w:hAnsi="Times New Roman" w:cs="Times New Roman"/>
          <w:sz w:val="24"/>
          <w:szCs w:val="24"/>
        </w:rPr>
      </w:pPr>
    </w:p>
    <w:p w:rsidR="0087119B" w:rsidRPr="0087119B" w:rsidRDefault="0087119B" w:rsidP="0087119B">
      <w:pPr>
        <w:rPr>
          <w:rFonts w:ascii="Times New Roman" w:hAnsi="Times New Roman" w:cs="Times New Roman"/>
          <w:sz w:val="24"/>
          <w:szCs w:val="24"/>
        </w:rPr>
      </w:pPr>
    </w:p>
    <w:p w:rsidR="0087119B" w:rsidRPr="0087119B" w:rsidRDefault="0087119B" w:rsidP="0087119B">
      <w:pPr>
        <w:rPr>
          <w:rFonts w:ascii="Times New Roman" w:hAnsi="Times New Roman" w:cs="Times New Roman"/>
          <w:sz w:val="24"/>
          <w:szCs w:val="24"/>
        </w:rPr>
      </w:pPr>
    </w:p>
    <w:p w:rsidR="0087119B" w:rsidRPr="0087119B" w:rsidRDefault="0087119B" w:rsidP="0087119B">
      <w:pPr>
        <w:rPr>
          <w:rFonts w:ascii="Times New Roman" w:hAnsi="Times New Roman" w:cs="Times New Roman"/>
          <w:sz w:val="24"/>
          <w:szCs w:val="24"/>
        </w:rPr>
      </w:pPr>
    </w:p>
    <w:p w:rsidR="0087119B" w:rsidRPr="0087119B" w:rsidRDefault="0087119B" w:rsidP="0087119B">
      <w:pPr>
        <w:rPr>
          <w:rFonts w:ascii="Times New Roman" w:hAnsi="Times New Roman" w:cs="Times New Roman"/>
          <w:sz w:val="24"/>
          <w:szCs w:val="24"/>
        </w:rPr>
      </w:pPr>
    </w:p>
    <w:p w:rsidR="0087119B" w:rsidRPr="0087119B" w:rsidRDefault="0087119B" w:rsidP="0087119B">
      <w:pPr>
        <w:rPr>
          <w:rFonts w:ascii="Times New Roman" w:hAnsi="Times New Roman" w:cs="Times New Roman"/>
          <w:sz w:val="24"/>
          <w:szCs w:val="24"/>
        </w:rPr>
      </w:pPr>
    </w:p>
    <w:p w:rsidR="0087119B" w:rsidRPr="0087119B" w:rsidRDefault="0087119B" w:rsidP="0087119B">
      <w:pPr>
        <w:rPr>
          <w:rFonts w:ascii="Times New Roman" w:hAnsi="Times New Roman" w:cs="Times New Roman"/>
          <w:sz w:val="24"/>
          <w:szCs w:val="24"/>
        </w:rPr>
      </w:pPr>
    </w:p>
    <w:p w:rsidR="003E58A1" w:rsidRDefault="003E58A1" w:rsidP="00BC5B25">
      <w:pPr>
        <w:ind w:left="0" w:firstLine="0"/>
        <w:rPr>
          <w:rFonts w:ascii="Times New Roman" w:hAnsi="Times New Roman" w:cs="Times New Roman"/>
          <w:b/>
          <w:sz w:val="24"/>
          <w:szCs w:val="24"/>
        </w:rPr>
      </w:pPr>
    </w:p>
    <w:p w:rsidR="009149A5" w:rsidRDefault="009149A5" w:rsidP="0087119B">
      <w:pPr>
        <w:jc w:val="center"/>
        <w:rPr>
          <w:rFonts w:ascii="Times New Roman" w:hAnsi="Times New Roman" w:cs="Times New Roman"/>
          <w:b/>
          <w:sz w:val="24"/>
          <w:szCs w:val="24"/>
        </w:rPr>
      </w:pPr>
    </w:p>
    <w:p w:rsidR="007471D5" w:rsidRDefault="007471D5" w:rsidP="0087119B">
      <w:pPr>
        <w:rPr>
          <w:rFonts w:ascii="Times New Roman" w:hAnsi="Times New Roman" w:cs="Times New Roman"/>
          <w:sz w:val="24"/>
          <w:szCs w:val="24"/>
        </w:rPr>
      </w:pPr>
    </w:p>
    <w:p w:rsidR="007471D5" w:rsidRPr="007471D5" w:rsidRDefault="007471D5" w:rsidP="007471D5">
      <w:pPr>
        <w:jc w:val="center"/>
        <w:rPr>
          <w:rFonts w:ascii="Times New Roman" w:hAnsi="Times New Roman" w:cs="Times New Roman"/>
          <w:b/>
          <w:sz w:val="24"/>
          <w:szCs w:val="24"/>
        </w:rPr>
      </w:pPr>
      <w:r w:rsidRPr="007471D5">
        <w:rPr>
          <w:rFonts w:ascii="Times New Roman" w:hAnsi="Times New Roman" w:cs="Times New Roman"/>
          <w:b/>
          <w:sz w:val="24"/>
          <w:szCs w:val="24"/>
        </w:rPr>
        <w:lastRenderedPageBreak/>
        <w:t>References</w:t>
      </w:r>
    </w:p>
    <w:p w:rsidR="0087119B" w:rsidRPr="0087119B" w:rsidRDefault="0087119B" w:rsidP="0087119B">
      <w:pPr>
        <w:rPr>
          <w:rFonts w:ascii="Times New Roman" w:hAnsi="Times New Roman" w:cs="Times New Roman"/>
          <w:sz w:val="24"/>
          <w:szCs w:val="24"/>
        </w:rPr>
      </w:pPr>
      <w:r w:rsidRPr="0087119B">
        <w:rPr>
          <w:rFonts w:ascii="Times New Roman" w:hAnsi="Times New Roman" w:cs="Times New Roman"/>
          <w:sz w:val="24"/>
          <w:szCs w:val="24"/>
        </w:rPr>
        <w:t>Ho, J. C. (2006). Defining “American”: Birthright citizenship and the original understanding of the 14th amendment. The Green Bag, 9(4).</w:t>
      </w:r>
    </w:p>
    <w:p w:rsidR="0087119B" w:rsidRPr="0087119B" w:rsidRDefault="0087119B" w:rsidP="0087119B">
      <w:pPr>
        <w:rPr>
          <w:rFonts w:ascii="Times New Roman" w:hAnsi="Times New Roman" w:cs="Times New Roman"/>
          <w:sz w:val="24"/>
          <w:szCs w:val="24"/>
        </w:rPr>
      </w:pPr>
      <w:r w:rsidRPr="0087119B">
        <w:rPr>
          <w:rFonts w:ascii="Times New Roman" w:hAnsi="Times New Roman" w:cs="Times New Roman"/>
          <w:sz w:val="24"/>
          <w:szCs w:val="24"/>
        </w:rPr>
        <w:t>James, J. B. (1956). The Framing of the Fourteenth Amendment (p. 185). Urbana: University of Illinois Press.</w:t>
      </w:r>
    </w:p>
    <w:p w:rsidR="0087119B" w:rsidRPr="0087119B" w:rsidRDefault="0087119B" w:rsidP="0087119B">
      <w:pPr>
        <w:rPr>
          <w:rFonts w:ascii="Times New Roman" w:hAnsi="Times New Roman" w:cs="Times New Roman"/>
          <w:sz w:val="24"/>
          <w:szCs w:val="24"/>
        </w:rPr>
      </w:pPr>
      <w:r w:rsidRPr="0087119B">
        <w:rPr>
          <w:rFonts w:ascii="Times New Roman" w:hAnsi="Times New Roman" w:cs="Times New Roman"/>
          <w:sz w:val="24"/>
          <w:szCs w:val="24"/>
        </w:rPr>
        <w:t xml:space="preserve">Warren, C. (1925). The New Liberty Under the Fourteenth Amendment. </w:t>
      </w:r>
      <w:proofErr w:type="spellStart"/>
      <w:r w:rsidRPr="0087119B">
        <w:rPr>
          <w:rFonts w:ascii="Times New Roman" w:hAnsi="Times New Roman" w:cs="Times New Roman"/>
          <w:sz w:val="24"/>
          <w:szCs w:val="24"/>
        </w:rPr>
        <w:t>Harv</w:t>
      </w:r>
      <w:proofErr w:type="spellEnd"/>
      <w:r w:rsidRPr="0087119B">
        <w:rPr>
          <w:rFonts w:ascii="Times New Roman" w:hAnsi="Times New Roman" w:cs="Times New Roman"/>
          <w:sz w:val="24"/>
          <w:szCs w:val="24"/>
        </w:rPr>
        <w:t>. L. Rev., 39, 431.</w:t>
      </w:r>
    </w:p>
    <w:sectPr w:rsidR="0087119B" w:rsidRPr="008711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794" w:rsidRDefault="00043794" w:rsidP="007471D5">
      <w:pPr>
        <w:spacing w:after="0" w:line="240" w:lineRule="auto"/>
      </w:pPr>
      <w:r>
        <w:separator/>
      </w:r>
    </w:p>
  </w:endnote>
  <w:endnote w:type="continuationSeparator" w:id="0">
    <w:p w:rsidR="00043794" w:rsidRDefault="00043794" w:rsidP="00747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794" w:rsidRDefault="00043794" w:rsidP="007471D5">
      <w:pPr>
        <w:spacing w:after="0" w:line="240" w:lineRule="auto"/>
      </w:pPr>
      <w:r>
        <w:separator/>
      </w:r>
    </w:p>
  </w:footnote>
  <w:footnote w:type="continuationSeparator" w:id="0">
    <w:p w:rsidR="00043794" w:rsidRDefault="00043794" w:rsidP="00747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1500869"/>
      <w:docPartObj>
        <w:docPartGallery w:val="Page Numbers (Top of Page)"/>
        <w:docPartUnique/>
      </w:docPartObj>
    </w:sdtPr>
    <w:sdtEndPr>
      <w:rPr>
        <w:rFonts w:ascii="Times New Roman" w:hAnsi="Times New Roman" w:cs="Times New Roman"/>
        <w:noProof/>
        <w:sz w:val="24"/>
        <w:szCs w:val="24"/>
      </w:rPr>
    </w:sdtEndPr>
    <w:sdtContent>
      <w:p w:rsidR="007471D5" w:rsidRPr="007471D5" w:rsidRDefault="007471D5">
        <w:pPr>
          <w:pStyle w:val="Header"/>
          <w:jc w:val="right"/>
          <w:rPr>
            <w:rFonts w:ascii="Times New Roman" w:hAnsi="Times New Roman" w:cs="Times New Roman"/>
            <w:sz w:val="24"/>
            <w:szCs w:val="24"/>
          </w:rPr>
        </w:pPr>
        <w:r w:rsidRPr="007471D5">
          <w:rPr>
            <w:rFonts w:ascii="Times New Roman" w:hAnsi="Times New Roman" w:cs="Times New Roman"/>
            <w:sz w:val="24"/>
            <w:szCs w:val="24"/>
          </w:rPr>
          <w:fldChar w:fldCharType="begin"/>
        </w:r>
        <w:r w:rsidRPr="007471D5">
          <w:rPr>
            <w:rFonts w:ascii="Times New Roman" w:hAnsi="Times New Roman" w:cs="Times New Roman"/>
            <w:sz w:val="24"/>
            <w:szCs w:val="24"/>
          </w:rPr>
          <w:instrText xml:space="preserve"> PAGE   \* MERGEFORMAT </w:instrText>
        </w:r>
        <w:r w:rsidRPr="007471D5">
          <w:rPr>
            <w:rFonts w:ascii="Times New Roman" w:hAnsi="Times New Roman" w:cs="Times New Roman"/>
            <w:sz w:val="24"/>
            <w:szCs w:val="24"/>
          </w:rPr>
          <w:fldChar w:fldCharType="separate"/>
        </w:r>
        <w:r w:rsidR="009149A5">
          <w:rPr>
            <w:rFonts w:ascii="Times New Roman" w:hAnsi="Times New Roman" w:cs="Times New Roman"/>
            <w:noProof/>
            <w:sz w:val="24"/>
            <w:szCs w:val="24"/>
          </w:rPr>
          <w:t>2</w:t>
        </w:r>
        <w:r w:rsidRPr="007471D5">
          <w:rPr>
            <w:rFonts w:ascii="Times New Roman" w:hAnsi="Times New Roman" w:cs="Times New Roman"/>
            <w:noProof/>
            <w:sz w:val="24"/>
            <w:szCs w:val="24"/>
          </w:rPr>
          <w:fldChar w:fldCharType="end"/>
        </w:r>
      </w:p>
    </w:sdtContent>
  </w:sdt>
  <w:p w:rsidR="007471D5" w:rsidRDefault="00747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906"/>
    <w:rsid w:val="00043794"/>
    <w:rsid w:val="000D769C"/>
    <w:rsid w:val="003E58A1"/>
    <w:rsid w:val="0047479A"/>
    <w:rsid w:val="004D5DCC"/>
    <w:rsid w:val="00642841"/>
    <w:rsid w:val="006A4906"/>
    <w:rsid w:val="007148F8"/>
    <w:rsid w:val="007471D5"/>
    <w:rsid w:val="0087119B"/>
    <w:rsid w:val="009149A5"/>
    <w:rsid w:val="009E7498"/>
    <w:rsid w:val="00B52F29"/>
    <w:rsid w:val="00BC5B25"/>
    <w:rsid w:val="00C30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96C97"/>
  <w15:chartTrackingRefBased/>
  <w15:docId w15:val="{E7281D59-D1B1-4366-8D51-E8305887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1D5"/>
  </w:style>
  <w:style w:type="paragraph" w:styleId="Footer">
    <w:name w:val="footer"/>
    <w:basedOn w:val="Normal"/>
    <w:link w:val="FooterChar"/>
    <w:uiPriority w:val="99"/>
    <w:unhideWhenUsed/>
    <w:rsid w:val="00747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2020-11-02T12:31:00Z</dcterms:created>
  <dcterms:modified xsi:type="dcterms:W3CDTF">2020-11-02T13:48:00Z</dcterms:modified>
</cp:coreProperties>
</file>